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1"/>
        <w:pBdr/>
        <w:spacing/>
        <w:ind w:firstLine="709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81"/>
        <w:pBdr/>
        <w:spacing/>
        <w:ind/>
        <w:jc w:val="center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</w:rPr>
        <w:t xml:space="preserve">В региональном Роскадастре рассказали о внесении сведений о границах населенных пунктов в ЕГРН</w:t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Земельный кодекс Российской Федерации </w:t>
      </w:r>
      <w:r>
        <w:rPr>
          <w:rFonts w:ascii="Segoe UI" w:hAnsi="Segoe UI" w:eastAsia="Calibri" w:cs="Segoe UI"/>
          <w:lang w:eastAsia="en-US"/>
        </w:rPr>
        <w:t xml:space="preserve">подразделяет все земли в России на категории и предусматривает, что правовой режим земель определяется, исходя из их принадлежности к той или иной категории и разрешенного использования. Границы населенных пунктов отделяют земли населенных пунктов от земел</w:t>
      </w:r>
      <w:r>
        <w:rPr>
          <w:rFonts w:ascii="Segoe UI" w:hAnsi="Segoe UI" w:eastAsia="Calibri" w:cs="Segoe UI"/>
          <w:lang w:eastAsia="en-US"/>
        </w:rPr>
        <w:t xml:space="preserve">ь иных категорий. Отсутствие таких границ создает органам государственной власти и органам местного самоуправления определенные трудности при предоставлении земельных участков физическим и юридическим лицам, размещении объектов капитального строительства. </w:t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708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На 1 августа 2025 года в Едином государственном реестре недвижимости (ЕГРН) содержатся сведения о границах 576 населенных пунктов из 845 в Республике Карелия, наибольшее количество которых расположено в Медвежьегорском муниципальном округе.</w:t>
      </w: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За первую половину 2025 года органами местного самоуправления были представлены сведения о границах 39 населённых пунктов. </w:t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Внесение границ населенных пунктов в ЕГРН позволяет органам государственной власти и органам местного самоуправления эффективно планировать развитие территории, предоставлять коммунальные услуги, контролировать использование земель.</w:t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«</w:t>
      </w:r>
      <w:r>
        <w:rPr>
          <w:rFonts w:ascii="Segoe UI" w:hAnsi="Segoe UI" w:eastAsia="Calibri" w:cs="Segoe UI"/>
          <w:i/>
          <w:iCs/>
          <w:lang w:eastAsia="en-US"/>
        </w:rPr>
        <w:t xml:space="preserve">Внесение</w:t>
      </w:r>
      <w:r>
        <w:rPr>
          <w:rFonts w:ascii="Segoe UI" w:hAnsi="Segoe UI" w:eastAsia="Calibri" w:cs="Segoe UI"/>
          <w:i/>
          <w:iCs/>
          <w:lang w:eastAsia="en-US"/>
        </w:rPr>
        <w:t xml:space="preserve"> сведений об этих объектах в ЕГРН – это важный шаг на пути к созданию прозрачной и эффективной системы управления земельными ресурсами, позволяющий обеспечить правовую открытость, защиту прав собственников, а также повысить инвестиционную привлекательность</w:t>
      </w:r>
      <w:r>
        <w:rPr>
          <w:rFonts w:ascii="Segoe UI" w:hAnsi="Segoe UI" w:eastAsia="Calibri" w:cs="Segoe UI"/>
          <w:lang w:eastAsia="en-US"/>
        </w:rPr>
        <w:t xml:space="preserve">»</w:t>
      </w:r>
      <w:r>
        <w:rPr>
          <w:rFonts w:ascii="Segoe UI" w:hAnsi="Segoe UI" w:eastAsia="Calibri" w:cs="Segoe UI"/>
          <w:lang w:eastAsia="en-US"/>
        </w:rPr>
        <w:t xml:space="preserve">,</w:t>
      </w:r>
      <w:r>
        <w:rPr>
          <w:rFonts w:ascii="Segoe UI" w:hAnsi="Segoe UI" w:eastAsia="Calibri" w:cs="Segoe UI"/>
          <w:lang w:eastAsia="en-US"/>
        </w:rPr>
        <w:t xml:space="preserve"> – считает заместитель директора филиала ППК «Роскадастр» по Республике Карелия </w:t>
      </w:r>
      <w:r>
        <w:rPr>
          <w:rFonts w:ascii="Segoe UI" w:hAnsi="Segoe UI" w:eastAsia="Calibri" w:cs="Segoe UI"/>
          <w:b/>
          <w:bCs/>
          <w:lang w:eastAsia="en-US"/>
        </w:rPr>
        <w:t xml:space="preserve">Роман Тренин</w:t>
      </w:r>
      <w:r>
        <w:rPr>
          <w:rFonts w:ascii="Segoe UI" w:hAnsi="Segoe UI" w:eastAsia="Calibri" w:cs="Segoe UI"/>
          <w:lang w:eastAsia="en-US"/>
        </w:rPr>
        <w:t xml:space="preserve">.</w:t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В соответствии с дейст</w:t>
      </w:r>
      <w:r>
        <w:rPr>
          <w:rFonts w:ascii="Segoe UI" w:hAnsi="Segoe UI" w:eastAsia="Calibri" w:cs="Segoe UI"/>
          <w:lang w:eastAsia="en-US"/>
        </w:rPr>
        <w:t xml:space="preserve">вующим законодательством органы государственной и муниципальной власти обязаны направлять в орган регистрации прав нормативно-правовой акт об установлении или изменении границ населенных пунктов с приложением перечня координат характерных точек их границ. </w:t>
      </w:r>
      <w:r>
        <w:rPr>
          <w:rFonts w:ascii="Segoe UI" w:hAnsi="Segoe UI" w:eastAsia="Calibri" w:cs="Segoe UI"/>
          <w:lang w:eastAsia="en-US"/>
        </w:rPr>
        <w:t xml:space="preserve">Внесение в ЕГРН таких сведений осуществляется филиалом ППК «Роскадастр» по Республике Карелия в течение 15 рабочих дней с даты поступления документов.</w:t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Получить сведения о внесенных в ЕГРН границах населенных пунктов можно на Портале пространственных данных Национальной системы пространственных данных в информационно-телекоммуникационной сети "Интернет" по адресу: https://nspd.gov.ru.  </w:t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 w:line="276" w:lineRule="auto"/>
        <w:ind w:firstLine="567"/>
        <w:jc w:val="right"/>
        <w:outlineLvl w:val="0"/>
        <w:rPr>
          <w:rStyle w:val="726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726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726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759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81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«Роскадастр»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341" w:right="707" w:bottom="284" w:left="993" w:header="284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Noto Sans Devanagari">
    <w:panose1 w:val="020B0502040504020204"/>
  </w:font>
  <w:font w:name="Consolas">
    <w:panose1 w:val="020B0603020203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905" cy="393700"/>
              <wp:effectExtent l="0" t="0" r="0" b="0"/>
              <wp:docPr id="1" name="_x005F_x0000_i102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_x005F_x0000_i1026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905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82">
    <w:name w:val="Heading 1"/>
    <w:basedOn w:val="681"/>
    <w:next w:val="681"/>
    <w:link w:val="69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683">
    <w:name w:val="Heading 2"/>
    <w:basedOn w:val="681"/>
    <w:next w:val="681"/>
    <w:link w:val="69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684">
    <w:name w:val="Heading 3"/>
    <w:basedOn w:val="681"/>
    <w:next w:val="681"/>
    <w:link w:val="69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685">
    <w:name w:val="Heading 4"/>
    <w:basedOn w:val="681"/>
    <w:next w:val="681"/>
    <w:link w:val="69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686">
    <w:name w:val="Heading 5"/>
    <w:basedOn w:val="681"/>
    <w:next w:val="681"/>
    <w:link w:val="69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687">
    <w:name w:val="Heading 6"/>
    <w:basedOn w:val="681"/>
    <w:next w:val="681"/>
    <w:link w:val="69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88">
    <w:name w:val="Heading 7"/>
    <w:basedOn w:val="681"/>
    <w:next w:val="681"/>
    <w:link w:val="6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89">
    <w:name w:val="Heading 8"/>
    <w:basedOn w:val="681"/>
    <w:next w:val="681"/>
    <w:link w:val="699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90">
    <w:name w:val="Heading 9"/>
    <w:basedOn w:val="681"/>
    <w:next w:val="681"/>
    <w:link w:val="700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9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92">
    <w:name w:val="Heading 1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93">
    <w:name w:val="Heading 2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94">
    <w:name w:val="Heading 3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95">
    <w:name w:val="Heading 4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96">
    <w:name w:val="Heading 5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97">
    <w:name w:val="Heading 6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98">
    <w:name w:val="Heading 7 Char"/>
    <w:basedOn w:val="691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9">
    <w:name w:val="Heading 8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0">
    <w:name w:val="Heading 9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1">
    <w:name w:val="Title Char"/>
    <w:basedOn w:val="691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02">
    <w:name w:val="Subtitle Char"/>
    <w:basedOn w:val="691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03">
    <w:name w:val="Quote Char"/>
    <w:basedOn w:val="691"/>
    <w:link w:val="737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Intense Emphasis"/>
    <w:basedOn w:val="6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5">
    <w:name w:val="Intense Quote Char"/>
    <w:basedOn w:val="691"/>
    <w:link w:val="739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706">
    <w:name w:val="Intense Reference"/>
    <w:basedOn w:val="6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7">
    <w:name w:val="Subtle Emphasis"/>
    <w:basedOn w:val="6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8">
    <w:name w:val="Emphasis"/>
    <w:basedOn w:val="691"/>
    <w:uiPriority w:val="20"/>
    <w:qFormat/>
    <w:pPr>
      <w:pBdr/>
      <w:spacing/>
      <w:ind/>
    </w:pPr>
    <w:rPr>
      <w:i/>
      <w:iCs/>
    </w:rPr>
  </w:style>
  <w:style w:type="character" w:styleId="709">
    <w:name w:val="Strong"/>
    <w:basedOn w:val="691"/>
    <w:uiPriority w:val="22"/>
    <w:qFormat/>
    <w:pPr>
      <w:pBdr/>
      <w:spacing/>
      <w:ind/>
    </w:pPr>
    <w:rPr>
      <w:b/>
      <w:bCs/>
    </w:rPr>
  </w:style>
  <w:style w:type="character" w:styleId="710">
    <w:name w:val="Subtle Reference"/>
    <w:basedOn w:val="6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1">
    <w:name w:val="Book Title"/>
    <w:basedOn w:val="69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2">
    <w:name w:val="Header Char"/>
    <w:basedOn w:val="691"/>
    <w:uiPriority w:val="99"/>
    <w:qFormat/>
    <w:pPr>
      <w:pBdr/>
      <w:spacing/>
      <w:ind/>
    </w:pPr>
  </w:style>
  <w:style w:type="character" w:styleId="713">
    <w:name w:val="Footer Char"/>
    <w:basedOn w:val="691"/>
    <w:uiPriority w:val="99"/>
    <w:qFormat/>
    <w:pPr>
      <w:pBdr/>
      <w:spacing/>
      <w:ind/>
    </w:pPr>
  </w:style>
  <w:style w:type="character" w:styleId="714">
    <w:name w:val="Footnote Text Char"/>
    <w:basedOn w:val="691"/>
    <w:uiPriority w:val="99"/>
    <w:semiHidden/>
    <w:qFormat/>
    <w:pPr>
      <w:pBdr/>
      <w:spacing/>
      <w:ind/>
    </w:pPr>
    <w:rPr>
      <w:sz w:val="20"/>
      <w:szCs w:val="20"/>
    </w:rPr>
  </w:style>
  <w:style w:type="character" w:styleId="715">
    <w:name w:val="Символ сноски"/>
    <w:basedOn w:val="69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16">
    <w:name w:val="footnote reference"/>
    <w:pPr>
      <w:pBdr/>
      <w:spacing/>
      <w:ind/>
    </w:pPr>
    <w:rPr>
      <w:vertAlign w:val="superscript"/>
    </w:rPr>
  </w:style>
  <w:style w:type="character" w:styleId="717">
    <w:name w:val="Endnote Text Char"/>
    <w:basedOn w:val="691"/>
    <w:uiPriority w:val="99"/>
    <w:semiHidden/>
    <w:qFormat/>
    <w:pPr>
      <w:pBdr/>
      <w:spacing/>
      <w:ind/>
    </w:pPr>
    <w:rPr>
      <w:sz w:val="20"/>
      <w:szCs w:val="20"/>
    </w:rPr>
  </w:style>
  <w:style w:type="character" w:styleId="718">
    <w:name w:val="Символ концевой сноски"/>
    <w:basedOn w:val="69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19">
    <w:name w:val="endnote reference"/>
    <w:pPr>
      <w:pBdr/>
      <w:spacing/>
      <w:ind/>
    </w:pPr>
    <w:rPr>
      <w:vertAlign w:val="superscript"/>
    </w:rPr>
  </w:style>
  <w:style w:type="character" w:styleId="720">
    <w:name w:val="Hyperlink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21">
    <w:name w:val="FollowedHyperlink"/>
    <w:basedOn w:val="6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2">
    <w:name w:val="Основной шрифт абзаца"/>
    <w:uiPriority w:val="1"/>
    <w:unhideWhenUsed/>
    <w:qFormat/>
    <w:pPr>
      <w:pBdr/>
      <w:spacing/>
      <w:ind/>
    </w:pPr>
  </w:style>
  <w:style w:type="character" w:styleId="723">
    <w:name w:val="Верхний колонтитул Знак"/>
    <w:basedOn w:val="722"/>
    <w:link w:val="742"/>
    <w:uiPriority w:val="99"/>
    <w:qFormat/>
    <w:pPr>
      <w:pBdr/>
      <w:spacing/>
      <w:ind/>
    </w:pPr>
  </w:style>
  <w:style w:type="character" w:styleId="724">
    <w:name w:val="Нижний колонтитул Знак"/>
    <w:basedOn w:val="722"/>
    <w:link w:val="743"/>
    <w:uiPriority w:val="99"/>
    <w:qFormat/>
    <w:pPr>
      <w:pBdr/>
      <w:spacing/>
      <w:ind/>
    </w:pPr>
  </w:style>
  <w:style w:type="character" w:styleId="725">
    <w:name w:val="Текст выноски Знак"/>
    <w:link w:val="758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726">
    <w:name w:val="Гиперссылка"/>
    <w:uiPriority w:val="99"/>
    <w:qFormat/>
    <w:pPr>
      <w:pBdr/>
      <w:spacing/>
      <w:ind/>
    </w:pPr>
    <w:rPr>
      <w:color w:val="0000ff"/>
      <w:u w:val="single"/>
    </w:rPr>
  </w:style>
  <w:style w:type="character" w:styleId="727">
    <w:name w:val="Текст Знак"/>
    <w:link w:val="761"/>
    <w:uiPriority w:val="99"/>
    <w:qFormat/>
    <w:pPr>
      <w:pBdr/>
      <w:spacing/>
      <w:ind/>
    </w:pPr>
    <w:rPr>
      <w:rFonts w:ascii="Consolas" w:hAnsi="Consolas"/>
      <w:sz w:val="21"/>
      <w:szCs w:val="21"/>
    </w:rPr>
  </w:style>
  <w:style w:type="character" w:styleId="728">
    <w:name w:val="Выделение"/>
    <w:uiPriority w:val="20"/>
    <w:qFormat/>
    <w:pPr>
      <w:pBdr/>
      <w:spacing/>
      <w:ind/>
    </w:pPr>
    <w:rPr>
      <w:i/>
      <w:iCs/>
    </w:rPr>
  </w:style>
  <w:style w:type="character" w:styleId="729">
    <w:name w:val="Line Number"/>
    <w:pPr>
      <w:pBdr/>
      <w:spacing/>
      <w:ind/>
    </w:pPr>
  </w:style>
  <w:style w:type="paragraph" w:styleId="730">
    <w:name w:val="Заголовок"/>
    <w:basedOn w:val="681"/>
    <w:next w:val="731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731">
    <w:name w:val="Body Text"/>
    <w:basedOn w:val="681"/>
    <w:pPr>
      <w:pBdr/>
      <w:spacing w:after="140" w:before="0" w:line="276" w:lineRule="auto"/>
      <w:ind/>
    </w:pPr>
  </w:style>
  <w:style w:type="paragraph" w:styleId="732">
    <w:name w:val="List"/>
    <w:basedOn w:val="731"/>
    <w:pPr>
      <w:pBdr/>
      <w:spacing/>
      <w:ind/>
    </w:pPr>
    <w:rPr>
      <w:rFonts w:ascii="PT Astra Serif" w:hAnsi="PT Astra Serif" w:cs="Noto Sans Devanagari"/>
    </w:rPr>
  </w:style>
  <w:style w:type="paragraph" w:styleId="733">
    <w:name w:val="Caption"/>
    <w:basedOn w:val="681"/>
    <w:next w:val="681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734">
    <w:name w:val="Указатель"/>
    <w:basedOn w:val="681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735">
    <w:name w:val="Title"/>
    <w:basedOn w:val="681"/>
    <w:next w:val="681"/>
    <w:link w:val="701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36">
    <w:name w:val="Subtitle"/>
    <w:basedOn w:val="681"/>
    <w:next w:val="681"/>
    <w:link w:val="70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737">
    <w:name w:val="Quote"/>
    <w:basedOn w:val="681"/>
    <w:next w:val="681"/>
    <w:link w:val="703"/>
    <w:uiPriority w:val="29"/>
    <w:qFormat/>
    <w:pPr>
      <w:pBdr/>
      <w:spacing w:after="0" w:before="160"/>
      <w:ind/>
      <w:jc w:val="center"/>
    </w:pPr>
    <w:rPr>
      <w:i/>
      <w:iCs/>
      <w:color w:val="404040" w:themeColor="text1" w:themeTint="BF"/>
    </w:rPr>
  </w:style>
  <w:style w:type="paragraph" w:styleId="738">
    <w:name w:val="List Paragraph"/>
    <w:basedOn w:val="681"/>
    <w:uiPriority w:val="34"/>
    <w:qFormat/>
    <w:pPr>
      <w:pBdr/>
      <w:spacing w:after="0" w:before="0"/>
      <w:ind w:left="720"/>
      <w:contextualSpacing w:val="true"/>
    </w:pPr>
  </w:style>
  <w:style w:type="paragraph" w:styleId="739">
    <w:name w:val="Intense Quote"/>
    <w:basedOn w:val="681"/>
    <w:next w:val="681"/>
    <w:link w:val="7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740">
    <w:name w:val="No Spacing"/>
    <w:basedOn w:val="681"/>
    <w:uiPriority w:val="1"/>
    <w:qFormat/>
    <w:pPr>
      <w:pBdr/>
      <w:spacing w:after="0" w:before="0" w:line="240" w:lineRule="auto"/>
      <w:ind/>
    </w:pPr>
  </w:style>
  <w:style w:type="paragraph" w:styleId="741">
    <w:name w:val="Колонтитул"/>
    <w:basedOn w:val="681"/>
    <w:qFormat/>
    <w:pPr>
      <w:pBdr/>
      <w:spacing/>
      <w:ind/>
    </w:pPr>
  </w:style>
  <w:style w:type="paragraph" w:styleId="742">
    <w:name w:val="Header"/>
    <w:basedOn w:val="681"/>
    <w:link w:val="723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743">
    <w:name w:val="Footer"/>
    <w:basedOn w:val="681"/>
    <w:link w:val="724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744">
    <w:name w:val="footnote text"/>
    <w:basedOn w:val="681"/>
    <w:link w:val="714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45">
    <w:name w:val="endnote text"/>
    <w:basedOn w:val="681"/>
    <w:link w:val="717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46">
    <w:name w:val="toc 1"/>
    <w:basedOn w:val="681"/>
    <w:next w:val="681"/>
    <w:uiPriority w:val="39"/>
    <w:unhideWhenUsed/>
    <w:pPr>
      <w:pBdr/>
      <w:spacing w:after="100" w:before="0"/>
      <w:ind/>
    </w:pPr>
  </w:style>
  <w:style w:type="paragraph" w:styleId="747">
    <w:name w:val="toc 2"/>
    <w:basedOn w:val="681"/>
    <w:next w:val="681"/>
    <w:uiPriority w:val="39"/>
    <w:unhideWhenUsed/>
    <w:pPr>
      <w:pBdr/>
      <w:spacing w:after="100" w:before="0"/>
      <w:ind w:left="220"/>
    </w:pPr>
  </w:style>
  <w:style w:type="paragraph" w:styleId="748">
    <w:name w:val="toc 3"/>
    <w:basedOn w:val="681"/>
    <w:next w:val="681"/>
    <w:uiPriority w:val="39"/>
    <w:unhideWhenUsed/>
    <w:pPr>
      <w:pBdr/>
      <w:spacing w:after="100" w:before="0"/>
      <w:ind w:left="440"/>
    </w:pPr>
  </w:style>
  <w:style w:type="paragraph" w:styleId="749">
    <w:name w:val="toc 4"/>
    <w:basedOn w:val="681"/>
    <w:next w:val="681"/>
    <w:uiPriority w:val="39"/>
    <w:unhideWhenUsed/>
    <w:pPr>
      <w:pBdr/>
      <w:spacing w:after="100" w:before="0"/>
      <w:ind w:left="660"/>
    </w:pPr>
  </w:style>
  <w:style w:type="paragraph" w:styleId="750">
    <w:name w:val="toc 5"/>
    <w:basedOn w:val="681"/>
    <w:next w:val="681"/>
    <w:uiPriority w:val="39"/>
    <w:unhideWhenUsed/>
    <w:pPr>
      <w:pBdr/>
      <w:spacing w:after="100" w:before="0"/>
      <w:ind w:left="880"/>
    </w:pPr>
  </w:style>
  <w:style w:type="paragraph" w:styleId="751">
    <w:name w:val="toc 6"/>
    <w:basedOn w:val="681"/>
    <w:next w:val="681"/>
    <w:uiPriority w:val="39"/>
    <w:unhideWhenUsed/>
    <w:pPr>
      <w:pBdr/>
      <w:spacing w:after="100" w:before="0"/>
      <w:ind w:left="1100"/>
    </w:pPr>
  </w:style>
  <w:style w:type="paragraph" w:styleId="752">
    <w:name w:val="toc 7"/>
    <w:basedOn w:val="681"/>
    <w:next w:val="681"/>
    <w:uiPriority w:val="39"/>
    <w:unhideWhenUsed/>
    <w:pPr>
      <w:pBdr/>
      <w:spacing w:after="100" w:before="0"/>
      <w:ind w:left="1320"/>
    </w:pPr>
  </w:style>
  <w:style w:type="paragraph" w:styleId="753">
    <w:name w:val="toc 8"/>
    <w:basedOn w:val="681"/>
    <w:next w:val="681"/>
    <w:uiPriority w:val="39"/>
    <w:unhideWhenUsed/>
    <w:pPr>
      <w:pBdr/>
      <w:spacing w:after="100" w:before="0"/>
      <w:ind w:left="1540"/>
    </w:pPr>
  </w:style>
  <w:style w:type="paragraph" w:styleId="754">
    <w:name w:val="toc 9"/>
    <w:basedOn w:val="681"/>
    <w:next w:val="681"/>
    <w:uiPriority w:val="39"/>
    <w:unhideWhenUsed/>
    <w:pPr>
      <w:pBdr/>
      <w:spacing w:after="100" w:before="0"/>
      <w:ind w:left="1760"/>
    </w:pPr>
  </w:style>
  <w:style w:type="paragraph" w:styleId="755">
    <w:name w:val="Index Heading"/>
    <w:basedOn w:val="730"/>
    <w:pPr>
      <w:pBdr/>
      <w:spacing/>
      <w:ind/>
    </w:pPr>
  </w:style>
  <w:style w:type="paragraph" w:styleId="756">
    <w:name w:val="TOC Heading"/>
    <w:uiPriority w:val="39"/>
    <w:unhideWhenUsed/>
    <w:qFormat/>
    <w:pPr>
      <w:widowControl w:val="true"/>
      <w:pBdr/>
      <w:bidi w:val="false"/>
      <w:spacing w:after="0" w:before="0"/>
      <w:ind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57">
    <w:name w:val="table of figures"/>
    <w:basedOn w:val="681"/>
    <w:next w:val="681"/>
    <w:uiPriority w:val="99"/>
    <w:unhideWhenUsed/>
    <w:pPr>
      <w:pBdr/>
      <w:spacing w:after="0" w:afterAutospacing="0" w:before="0"/>
      <w:ind/>
    </w:pPr>
  </w:style>
  <w:style w:type="paragraph" w:styleId="758">
    <w:name w:val="Текст выноски"/>
    <w:basedOn w:val="681"/>
    <w:link w:val="725"/>
    <w:uiPriority w:val="99"/>
    <w:semiHidden/>
    <w:unhideWhenUsed/>
    <w:qFormat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paragraph" w:styleId="759">
    <w:name w:val="ConsPlusNormal"/>
    <w:qFormat/>
    <w:pPr>
      <w:widowControl w:val="true"/>
      <w:pBdr/>
      <w:bidi w:val="false"/>
      <w:spacing w:after="0" w:before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60">
    <w:name w:val="Абзац списка"/>
    <w:basedOn w:val="681"/>
    <w:uiPriority w:val="34"/>
    <w:qFormat/>
    <w:pPr>
      <w:pBdr/>
      <w:spacing w:after="0" w:before="0"/>
      <w:ind w:left="720"/>
      <w:contextualSpacing w:val="true"/>
    </w:pPr>
    <w:rPr>
      <w:szCs w:val="20"/>
    </w:rPr>
  </w:style>
  <w:style w:type="paragraph" w:styleId="761">
    <w:name w:val="Текст"/>
    <w:basedOn w:val="681"/>
    <w:link w:val="727"/>
    <w:uiPriority w:val="99"/>
    <w:unhideWhenUsed/>
    <w:qFormat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paragraph" w:styleId="762">
    <w:name w:val="paragraph scxw163741632 bcx0"/>
    <w:basedOn w:val="681"/>
    <w:qFormat/>
    <w:pPr>
      <w:pBdr/>
      <w:spacing w:afterAutospacing="1" w:beforeAutospacing="1"/>
      <w:ind/>
    </w:pPr>
  </w:style>
  <w:style w:type="numbering" w:styleId="763" w:default="1">
    <w:name w:val="No List"/>
    <w:uiPriority w:val="99"/>
    <w:semiHidden/>
    <w:unhideWhenUsed/>
    <w:qFormat/>
    <w:pPr>
      <w:pBdr/>
      <w:spacing/>
      <w:ind/>
    </w:pPr>
  </w:style>
  <w:style w:type="numbering" w:styleId="764">
    <w:name w:val="Нет списка"/>
    <w:uiPriority w:val="99"/>
    <w:semiHidden/>
    <w:unhideWhenUsed/>
    <w:qFormat/>
    <w:pPr>
      <w:pBdr/>
      <w:spacing/>
      <w:ind/>
    </w:pPr>
  </w:style>
  <w:style w:type="table" w:styleId="76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Table Grid"/>
    <w:basedOn w:val="76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Table Grid Light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Обычная таблица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HeadingPairs>
    <vt:vector size="0" baseType="variant"/>
  </HeadingPairs>
  <TitlesOfParts>
    <vt:vector size="0" baseType="lpstr"/>
  </TitlesOfPart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dc:description/>
  <dc:language>ru-RU</dc:language>
  <cp:revision>8</cp:revision>
  <dcterms:created xsi:type="dcterms:W3CDTF">2024-09-12T13:25:00Z</dcterms:created>
  <dcterms:modified xsi:type="dcterms:W3CDTF">2025-08-18T12:35:47Z</dcterms:modified>
  <cp:version>786432</cp:version>
</cp:coreProperties>
</file>